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AC5A60C" w:rsidR="00B53A27" w:rsidRPr="00936D55" w:rsidRDefault="00B9493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94932">
              <w:rPr>
                <w:rFonts w:asciiTheme="minorHAnsi" w:hAnsiTheme="minorHAnsi" w:cstheme="minorHAnsi"/>
              </w:rPr>
              <w:t>Sanidad e Inocuidad Agroalimentaria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5700217E" w:rsidR="00B53A27" w:rsidRPr="00936D55" w:rsidRDefault="00B9493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94932">
              <w:rPr>
                <w:rFonts w:asciiTheme="minorHAnsi" w:hAnsiTheme="minorHAnsi" w:cstheme="minorHAnsi"/>
              </w:rPr>
              <w:t>Secretaría de Agricultura y Ganadería (SAyG)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2E29EED8" w:rsidR="00B53A27" w:rsidRPr="00936D55" w:rsidRDefault="00B9493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B94932">
              <w:rPr>
                <w:rFonts w:asciiTheme="minorHAnsi" w:hAnsiTheme="minorHAnsi" w:cstheme="minorHAnsi"/>
              </w:rPr>
              <w:t>Dirección de Innovación, Sanidad e Inocuidad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AD05887" w:rsidR="00B53A27" w:rsidRPr="00936D55" w:rsidRDefault="00B9493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49A3962" w:rsidR="00B53A27" w:rsidRPr="00936D55" w:rsidRDefault="00B94932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4"/>
        <w:gridCol w:w="2738"/>
        <w:gridCol w:w="2311"/>
      </w:tblGrid>
      <w:tr w:rsidR="00BD0258" w:rsidRPr="00BD0258" w14:paraId="144EB42F" w14:textId="77777777" w:rsidTr="007E0E1A">
        <w:trPr>
          <w:trHeight w:val="886"/>
          <w:tblHeader/>
        </w:trPr>
        <w:tc>
          <w:tcPr>
            <w:tcW w:w="194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4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38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11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8F6E19" w:rsidRPr="00936D55" w14:paraId="3F02C46D" w14:textId="77777777" w:rsidTr="008F6E19">
        <w:tc>
          <w:tcPr>
            <w:tcW w:w="1941" w:type="dxa"/>
            <w:vAlign w:val="center"/>
          </w:tcPr>
          <w:p w14:paraId="70425297" w14:textId="27D32131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8F6E19" w:rsidRPr="00D02A3D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center"/>
          </w:tcPr>
          <w:p w14:paraId="36CFBCCD" w14:textId="5714BBE5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</w:rPr>
              <w:t>Rotación de personal operativo, lo que genera mayor inversión de tiempo en supervisión y en capacitaciones.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5A8AE607" w14:textId="0F19303E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Desde hace un par de años se ha intensificado la capacitación al personal de la dirección, en particular al personal operativo u Oficiales Estatales, precisamente con la finalidad de mejorar los aspectos normativos y operativos de verificación e inspección de cargamentos agropecuarios.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DA7876B" w14:textId="6AE33E5D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Capacitación a los Oficiales Estatales para la mejora de sus funciones y aplicación de lineamientos y normatividad en vigilancia e inspección de cargamentos agropecuarios.</w:t>
            </w:r>
          </w:p>
        </w:tc>
      </w:tr>
      <w:tr w:rsidR="008F6E19" w:rsidRPr="00936D55" w14:paraId="4D3DAD0C" w14:textId="77777777" w:rsidTr="008F6E19">
        <w:tc>
          <w:tcPr>
            <w:tcW w:w="1941" w:type="dxa"/>
            <w:vAlign w:val="center"/>
          </w:tcPr>
          <w:p w14:paraId="6EBB4888" w14:textId="77777777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8F6E19" w:rsidRPr="00D02A3D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4" w:type="dxa"/>
            <w:vAlign w:val="center"/>
          </w:tcPr>
          <w:p w14:paraId="07DCA505" w14:textId="5C9D5ED9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</w:rPr>
              <w:t>Rotación de personal operativo, lo que genera mayor inversión de tiempo en supervisión y en capacitaciones.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6B3706E" w14:textId="4A820CCF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Dentro del programa de trabajo y de las metas establecidas de la dirección (DISI), se contempla las evaluaciones periódicas y supervisión constante del actuar de los Oficiales Estatales. Ello da pie para intensificar las labores de supervisión de los coordinadores de zona y de personal de seguimiento estatal.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CED0DF8" w14:textId="145365BE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Realizar por parte de la dirección, (DISI) evaluaciones de desempeño de los oficiales y dar un seguimiento puntual para identificar sus áreas de oportunidad y establecer las mejoras necesarias.</w:t>
            </w:r>
          </w:p>
        </w:tc>
      </w:tr>
      <w:tr w:rsidR="008F6E19" w:rsidRPr="00936D55" w14:paraId="6202F808" w14:textId="77777777" w:rsidTr="008F6E19">
        <w:tc>
          <w:tcPr>
            <w:tcW w:w="1941" w:type="dxa"/>
            <w:vAlign w:val="center"/>
          </w:tcPr>
          <w:p w14:paraId="2FCCAB4C" w14:textId="77777777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8F6E19" w:rsidRPr="00D02A3D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4" w:type="dxa"/>
            <w:vAlign w:val="center"/>
          </w:tcPr>
          <w:p w14:paraId="4C3DA5D5" w14:textId="5C3FAB2C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</w:rPr>
              <w:t>Insuficiente parque vehicular para lograr mayor cobertura estatal en rutas itinerantes.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40FC487" w14:textId="042CF03D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un imperativo el contar con vehículos en cantidad y en buen estado mecánico, lo que garantice una mayor cobertura de las acciones de supervisión a todas las unidades de producción que se deben de verificar e inspeccionar en 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estado. Además, para cubrir nuevas rutas que se están definiendo y solicitando su autorización a instancias federales.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BF35B51" w14:textId="0C84E95C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lastRenderedPageBreak/>
              <w:t>Eficientar las acciones de supervisión a unidades de producción internas (corrales de engorda, huertos, empacadoras, agroindustrias, rastros, etc.).</w:t>
            </w:r>
          </w:p>
        </w:tc>
      </w:tr>
      <w:tr w:rsidR="008F6E19" w:rsidRPr="00936D55" w14:paraId="6BECB8E2" w14:textId="77777777" w:rsidTr="008F6E19">
        <w:tc>
          <w:tcPr>
            <w:tcW w:w="1941" w:type="dxa"/>
            <w:vAlign w:val="center"/>
          </w:tcPr>
          <w:p w14:paraId="23B9C4E8" w14:textId="77777777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3DBBD238" w14:textId="57DCB60B" w:rsidR="008F6E19" w:rsidRPr="00936D55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4" w:type="dxa"/>
            <w:vAlign w:val="center"/>
          </w:tcPr>
          <w:p w14:paraId="697C8CC0" w14:textId="563EF69D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</w:rPr>
              <w:t>Insuficiente parque vehicular para lograr mayor cobertura estatal en rutas itinerantes.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A309CDB" w14:textId="574C011E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Como parte de la estrategia operativa y de garantía de cobertura de las diferentes Unidades de Producción Pecuaria (UPP), se ha solicitado y autorizado por la instancia federal SENASICA nuevas rutas itinerantes, así como nuevos Puntos de Verificación e Inspección (PVI), para lo cual se requiere </w:t>
            </w:r>
            <w:r w:rsidRPr="00E578FA">
              <w:rPr>
                <w:rFonts w:asciiTheme="minorHAnsi" w:hAnsiTheme="minorHAnsi" w:cstheme="minorHAnsi"/>
                <w:sz w:val="20"/>
                <w:szCs w:val="20"/>
              </w:rPr>
              <w:t xml:space="preserve">más unidades vehiculares. También es imperativo trabajar en el tema del sustento jurídico o legal de las infracciones y que el personal elabore los Actos de autoridad conforme a la normatividad establecida. 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5FE681B" w14:textId="6F430920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Establecer nuevas rutas de vigilancia e inspección con el fin de evitar la introducción de ganado bovino y productos agropecuarios sin las medidas sanitarias exigibles, aplicando la ley e infracciones a los productores o comercializadores que cometan estas infracciones.</w:t>
            </w:r>
          </w:p>
        </w:tc>
      </w:tr>
      <w:tr w:rsidR="008F6E19" w:rsidRPr="00936D55" w14:paraId="2C9A7661" w14:textId="77777777" w:rsidTr="008F6E19">
        <w:tc>
          <w:tcPr>
            <w:tcW w:w="1941" w:type="dxa"/>
            <w:vAlign w:val="center"/>
          </w:tcPr>
          <w:p w14:paraId="5594DDBE" w14:textId="77777777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A6ACE66" w14:textId="6741300E" w:rsidR="008F6E19" w:rsidRPr="00936D55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34" w:type="dxa"/>
            <w:vAlign w:val="center"/>
          </w:tcPr>
          <w:p w14:paraId="2E7D0123" w14:textId="6FD32B34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</w:rPr>
              <w:t>Insuficiente parque vehicular para lograr mayor cobertura estatal en rutas itinerantes.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0CA16CA4" w14:textId="5BB3DE44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primordial el mejoramiento continuo de las instalaciones de DISI o Casetas en los PVI. Contar con la infraestructura necesaria, mobiliario, equipo, y medios de comunicación adecuados, así como el personal suficiente, lo que garantice un buen desarrollo de las actividades de verificación e inspección de cargamentos.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7D189A6" w14:textId="041532A9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eastAsia="Times New Roman" w:hAnsiTheme="minorHAnsi" w:cstheme="minorHAnsi"/>
                <w:sz w:val="20"/>
                <w:szCs w:val="20"/>
                <w:lang w:eastAsia="es-MX"/>
              </w:rPr>
              <w:t>Efectuar mejoras en las instalaciones de los Puntos de Verificación e Inspección, así como aumentar el parque vehicular para lograr una mayor cobertura en las rutas itinerantes.</w:t>
            </w:r>
          </w:p>
        </w:tc>
      </w:tr>
      <w:tr w:rsidR="008F6E19" w:rsidRPr="00936D55" w14:paraId="028C0C16" w14:textId="77777777" w:rsidTr="008F6E19">
        <w:tc>
          <w:tcPr>
            <w:tcW w:w="1941" w:type="dxa"/>
            <w:vAlign w:val="center"/>
          </w:tcPr>
          <w:p w14:paraId="0CCE496B" w14:textId="77777777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67BB161" w14:textId="24CFBBED" w:rsidR="008F6E19" w:rsidRPr="00936D55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34" w:type="dxa"/>
            <w:vAlign w:val="center"/>
          </w:tcPr>
          <w:p w14:paraId="3250CDAD" w14:textId="40C1572E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</w:rPr>
              <w:t>Es necesario redefinir la población potencial, objetivo y atendida del Pp.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0EF2DDA" w14:textId="01D85DF1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correcto. Las poblaciones deben de redefinirse. Pudieran ser “Cargamentos de bovinos y Unidades de Producción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verificadas e inspeccionadas en el estado” por ejemplo. 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2BEF363" w14:textId="641B4E47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lastRenderedPageBreak/>
              <w:t>Redefinir la población potencial, objetivo y atendida del Pp.</w:t>
            </w:r>
          </w:p>
        </w:tc>
      </w:tr>
      <w:tr w:rsidR="008F6E19" w:rsidRPr="00936D55" w14:paraId="5D03D556" w14:textId="77777777" w:rsidTr="008F6E19">
        <w:tc>
          <w:tcPr>
            <w:tcW w:w="1941" w:type="dxa"/>
            <w:vAlign w:val="center"/>
          </w:tcPr>
          <w:p w14:paraId="7F7EBD60" w14:textId="77777777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1A1121AD" w14:textId="6E518403" w:rsidR="008F6E19" w:rsidRPr="00936D55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34" w:type="dxa"/>
            <w:vAlign w:val="center"/>
          </w:tcPr>
          <w:p w14:paraId="1E45AEB6" w14:textId="18D50595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</w:rPr>
              <w:t>Se recomienda identificar y cuantificar los datos de la población atendida, es decir los apoyos y/o servicios que fueron realizados o en su caso, los productores agropecuarios beneficiados por dicho Pp, así como su ubicación geográfica por municipios.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24C2CD1" w14:textId="315C8DD0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Durante 2022 se desconoce si se llevaron registros de la población atendida con desagregación geográfica. Los informes disponibles señalan solo datos generales de inspecciones en PVI, rutas itinerantes y en las Unidades de Producción dentro del territorio estatal.  </w:t>
            </w:r>
            <w:r w:rsidRPr="00E578FA">
              <w:rPr>
                <w:rFonts w:asciiTheme="minorHAnsi" w:hAnsiTheme="minorHAnsi" w:cstheme="minorHAnsi"/>
                <w:sz w:val="20"/>
                <w:szCs w:val="20"/>
              </w:rPr>
              <w:t>Es necesario implementar en los PVI y rutas itinerantes, un control de datos o registros administrativos para captar los lugares de origen y destino de los productos agropecuarios que ingresan al estado e integrar datos georreferenciados.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6F6050AC" w14:textId="1E590D17" w:rsidR="008F6E19" w:rsidRPr="007E0E1A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E0E1A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Cuantificar la población atendida (ya sean apoyos y/o servicios otorgados, los productores agropecuarios beneficiados) así como su ubicación geográfica por municipios.</w:t>
            </w:r>
          </w:p>
        </w:tc>
      </w:tr>
      <w:tr w:rsidR="008F6E19" w:rsidRPr="00501A43" w14:paraId="0ACDEE0E" w14:textId="77777777" w:rsidTr="008F6E19">
        <w:tc>
          <w:tcPr>
            <w:tcW w:w="1941" w:type="dxa"/>
            <w:vAlign w:val="center"/>
          </w:tcPr>
          <w:p w14:paraId="5C36E02F" w14:textId="77777777" w:rsidR="008F6E19" w:rsidRPr="00936D55" w:rsidRDefault="008F6E19" w:rsidP="008F6E19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959CB7F" w14:textId="36084004" w:rsidR="008F6E19" w:rsidRPr="00936D55" w:rsidRDefault="008F6E19" w:rsidP="008F6E19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234" w:type="dxa"/>
            <w:vAlign w:val="center"/>
          </w:tcPr>
          <w:p w14:paraId="64E0A013" w14:textId="656A4D69" w:rsidR="008F6E19" w:rsidRPr="00501A43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1A43">
              <w:rPr>
                <w:sz w:val="20"/>
                <w:szCs w:val="20"/>
              </w:rPr>
              <w:t>Es de relevancia señalar que el programa tiene como modalidad presupuestaria “S” la cual está sujeta a Reglas de Operación (ROP), sin embargo, dicho Pp no cuenta con sus respectivas ROP, por lo tanto, se sugiere cambiar dicha modalidad.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1869EA0C" w14:textId="6AF1A071" w:rsidR="008F6E19" w:rsidRPr="00501A43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correcto. El programa operado por la dirección (DISI) no contiene Reglas de Operación (ROP), solo se tiene un Programa de trabajo para el desarrollo del operativo de verificación e inspección anual. Es pertinente cambiar de modalidad presupuestaria a prestación de un servicio. 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2448C7A" w14:textId="2D189E83" w:rsidR="008F6E19" w:rsidRPr="00501A43" w:rsidRDefault="008F6E19" w:rsidP="008F6E1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501A4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Cambiar de modalidad presupuestaria el Pp.</w:t>
            </w:r>
          </w:p>
        </w:tc>
      </w:tr>
    </w:tbl>
    <w:p w14:paraId="01B68660" w14:textId="0E5C1411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CCE0A95" w:rsidR="008F6E19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B94932">
        <w:rPr>
          <w:rFonts w:asciiTheme="minorHAnsi" w:hAnsiTheme="minorHAnsi" w:cstheme="minorHAnsi"/>
          <w:sz w:val="20"/>
          <w:szCs w:val="24"/>
        </w:rPr>
        <w:t>Externa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B94932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p w14:paraId="0778DF2F" w14:textId="77777777" w:rsidR="008F6E19" w:rsidRDefault="008F6E19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br w:type="page"/>
      </w:r>
    </w:p>
    <w:p w14:paraId="21134F18" w14:textId="77777777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bookmarkStart w:id="1" w:name="_GoBack"/>
      <w:bookmarkEnd w:id="1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00BB35B4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Aplicación estricta de la Ley de sanidad animal y vegetal, sus reglamentos y normas aplicables.</w:t>
      </w:r>
    </w:p>
    <w:p w14:paraId="2907F596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Buena vinculación de acciones con dependencias federales y estatales y con los organismos auxiliares.</w:t>
      </w:r>
    </w:p>
    <w:p w14:paraId="31654201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Razonable, pero insuficiente infraestructura para PVI y para la movilización interna.</w:t>
      </w:r>
    </w:p>
    <w:p w14:paraId="14A1DC6C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Mejora continua de los procesos de trabajo y capacitación permanente del personal operativo.</w:t>
      </w:r>
    </w:p>
    <w:p w14:paraId="6B9F82CA" w14:textId="36583000" w:rsidR="00B875B8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Socialización de la información generada entre el personal, creando empatía para el buen desarrollo de las tareas y responsabilidades asignadas.</w:t>
      </w:r>
    </w:p>
    <w:p w14:paraId="16641FEE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Recuperar el Estatus Zoosanitario del estado.</w:t>
      </w:r>
    </w:p>
    <w:p w14:paraId="1A299EEB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Mantener y mejorar el estatus de baja prevalencia (fitosanitaria) de mosca de la fruta en el estado.</w:t>
      </w:r>
    </w:p>
    <w:p w14:paraId="49C24C5A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Adquirir más parque vehicular para lograr una mayor cobertura estatal, sobre todo en rutas itinerantes y visitas a corrales, rastros, unidades de producción pecuarias, etc.</w:t>
      </w:r>
    </w:p>
    <w:p w14:paraId="3DF7EE44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Mejorar y conservar los estatus Fitosanitarios.</w:t>
      </w:r>
    </w:p>
    <w:p w14:paraId="6B7C6AD0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Avanzar en la Modernización de los PVI.</w:t>
      </w:r>
    </w:p>
    <w:p w14:paraId="1F1A8BAD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Fortalecer las relaciones de coordinación con Organismos Auxiliares del estado en materia Fito Zoosanitaria.</w:t>
      </w:r>
    </w:p>
    <w:p w14:paraId="70364BB6" w14:textId="5E1E06F0" w:rsid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Mejorar el control estadístico y sistemático de las actividades que se realizan en los ámbitos territoriales de vigilancia e inspección estatal.</w:t>
      </w:r>
    </w:p>
    <w:p w14:paraId="4E82513C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Rotación de personal operativo, lo que genera mayor inversión de tiempo en supervisión y en capacitaciones.</w:t>
      </w:r>
    </w:p>
    <w:p w14:paraId="787339D8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Sin operar cabalmente la Unidad de Inteligencia Sanitaria (UIS).</w:t>
      </w:r>
    </w:p>
    <w:p w14:paraId="777F0582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Inoperancia de los PVI Celestino Gasca y Lomas de Tecuyo.</w:t>
      </w:r>
    </w:p>
    <w:p w14:paraId="5F0337BF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Cuatro de los PVI no se encuentran autorizados por SENASICA en materia moscas de la fruta y T.B.</w:t>
      </w:r>
    </w:p>
    <w:p w14:paraId="197E8D68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Insuficiente equipo para eficientar el trabajo.</w:t>
      </w:r>
    </w:p>
    <w:p w14:paraId="27037B4A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Poner en funciones una aplicación informática (APP) que facilite la administración de la información de los PVI y rutas itinerantes, para medir los resultados y generar indicadores más precisos.</w:t>
      </w:r>
    </w:p>
    <w:p w14:paraId="4B9D9BAD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Insuficiente parque vehicular para lograr mayor cobertura estatal en rutas itinerantes.</w:t>
      </w:r>
    </w:p>
    <w:p w14:paraId="786A14DC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Solo uno de cada 6 Oficiales Estatales está certificado por SENASICA.</w:t>
      </w:r>
    </w:p>
    <w:p w14:paraId="18AF3409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No disponer de un presupuesto asignado directamente a la dirección.</w:t>
      </w:r>
    </w:p>
    <w:p w14:paraId="40FCFE94" w14:textId="2AC11938" w:rsid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Infraestructura insuficiente para mejorar las condiciones de vigilancia en casetas de inspección.</w:t>
      </w:r>
    </w:p>
    <w:p w14:paraId="4672F2FC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La inseguridad pública para un óptimo desempeño de los Oficiales estatales en los PVI y Rutas itinerantes.</w:t>
      </w:r>
    </w:p>
    <w:p w14:paraId="42E093C0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Afectación a los estatus fitosanitarios actuales por autoridades federales por malas prácticas de los productores.</w:t>
      </w:r>
    </w:p>
    <w:p w14:paraId="3C90FD4C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Evasión de inspección a cargamentos contaminados que ingresan al estado.</w:t>
      </w:r>
    </w:p>
    <w:p w14:paraId="21523091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Riesgos a la salud pública en el estado por surgimiento de plagas y enfermedades y por contaminación de cuerpos agua.</w:t>
      </w:r>
    </w:p>
    <w:p w14:paraId="691DE9FD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Negligencia o mala revisión en los PVI’s del estado de Nayarit que potencie la entrada y proliferación de plagas o enfermedades en Sinaloa.</w:t>
      </w:r>
    </w:p>
    <w:p w14:paraId="3BA67B68" w14:textId="77777777" w:rsidR="00B94932" w:rsidRPr="00B94932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t>Riesgo de que USDA no regrese en el corto plazo el estatus zoosanitario de Sinaloa (Acreditado preparatorio).</w:t>
      </w:r>
    </w:p>
    <w:p w14:paraId="4CF1416D" w14:textId="7CD91F37" w:rsidR="00B94932" w:rsidRPr="00ED12C1" w:rsidRDefault="00B94932" w:rsidP="00B94932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B94932">
        <w:rPr>
          <w:rFonts w:asciiTheme="minorHAnsi" w:hAnsiTheme="minorHAnsi" w:cstheme="minorHAnsi"/>
          <w:sz w:val="20"/>
          <w:szCs w:val="20"/>
        </w:rPr>
        <w:lastRenderedPageBreak/>
        <w:t>Pérdida de mercado internacional en exportación de ganado en pie por no recuperar el estatus zoosanitario.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284A645B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F6E19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628FB4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F6E19" w:rsidRPr="008F6E19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B94932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B94932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4932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pt;height:9pt" o:bullet="t">
        <v:imagedata r:id="rId1" o:title="BD14868_"/>
      </v:shape>
    </w:pict>
  </w:numPicBullet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1A43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4230A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0E1A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8F6E19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94932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3B94-24BC-4976-ACAA-653C3B3E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1410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8</cp:revision>
  <cp:lastPrinted>2021-10-18T17:24:00Z</cp:lastPrinted>
  <dcterms:created xsi:type="dcterms:W3CDTF">2022-12-15T17:02:00Z</dcterms:created>
  <dcterms:modified xsi:type="dcterms:W3CDTF">2024-06-28T19:17:00Z</dcterms:modified>
</cp:coreProperties>
</file>